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1F686" w14:textId="77777777" w:rsidR="00BA53C4" w:rsidRPr="000F5964" w:rsidRDefault="00BA53C4" w:rsidP="00BA53C4">
      <w:pPr>
        <w:pBdr>
          <w:top w:val="single" w:sz="24" w:space="1" w:color="auto"/>
          <w:left w:val="single" w:sz="24" w:space="4" w:color="auto"/>
          <w:bottom w:val="single" w:sz="24" w:space="1" w:color="auto"/>
          <w:right w:val="single" w:sz="24" w:space="4" w:color="auto"/>
        </w:pBdr>
        <w:jc w:val="center"/>
        <w:rPr>
          <w:b/>
          <w:bCs/>
        </w:rPr>
      </w:pPr>
      <w:r w:rsidRPr="000F5964">
        <w:rPr>
          <w:b/>
          <w:bCs/>
        </w:rPr>
        <w:t xml:space="preserve">Learning Theory </w:t>
      </w:r>
      <w:r>
        <w:rPr>
          <w:b/>
          <w:bCs/>
        </w:rPr>
        <w:t>Carnival</w:t>
      </w:r>
    </w:p>
    <w:p w14:paraId="63FB6864" w14:textId="77777777" w:rsidR="00BA53C4" w:rsidRDefault="00BA53C4" w:rsidP="00BA53C4">
      <w:pPr>
        <w:pBdr>
          <w:top w:val="single" w:sz="24" w:space="1" w:color="auto"/>
          <w:left w:val="single" w:sz="24" w:space="4" w:color="auto"/>
          <w:bottom w:val="single" w:sz="24" w:space="1" w:color="auto"/>
          <w:right w:val="single" w:sz="24" w:space="4" w:color="auto"/>
        </w:pBdr>
        <w:jc w:val="center"/>
      </w:pPr>
      <w:r>
        <w:t>Monday, July 22</w:t>
      </w:r>
    </w:p>
    <w:p w14:paraId="3EE0ABE1" w14:textId="58D019AC" w:rsidR="00BA53C4" w:rsidRDefault="00BA53C4" w:rsidP="00BA53C4">
      <w:pPr>
        <w:pBdr>
          <w:top w:val="single" w:sz="24" w:space="1" w:color="auto"/>
          <w:left w:val="single" w:sz="24" w:space="4" w:color="auto"/>
          <w:bottom w:val="single" w:sz="24" w:space="1" w:color="auto"/>
          <w:right w:val="single" w:sz="24" w:space="4" w:color="auto"/>
        </w:pBdr>
        <w:jc w:val="center"/>
      </w:pPr>
      <w:r>
        <w:t>7:15-9:15 pm</w:t>
      </w:r>
    </w:p>
    <w:p w14:paraId="4275CD00" w14:textId="3C4659F5" w:rsidR="00BA53C4" w:rsidRDefault="00BA53C4" w:rsidP="00BA53C4">
      <w:pPr>
        <w:jc w:val="center"/>
      </w:pPr>
    </w:p>
    <w:p w14:paraId="71F5E77D" w14:textId="3CD25F8B" w:rsidR="00BA53C4" w:rsidRPr="00BA53C4" w:rsidRDefault="00BA53C4" w:rsidP="00BA53C4">
      <w:pPr>
        <w:jc w:val="center"/>
        <w:rPr>
          <w:b/>
          <w:bCs/>
        </w:rPr>
      </w:pPr>
      <w:r w:rsidRPr="00BA53C4">
        <w:rPr>
          <w:b/>
          <w:bCs/>
        </w:rPr>
        <w:t>PROTOCOL</w:t>
      </w:r>
    </w:p>
    <w:p w14:paraId="5CFC6E4C" w14:textId="2C4494FA" w:rsidR="00BA53C4" w:rsidRPr="00BA53C4" w:rsidRDefault="00BA53C4" w:rsidP="00BA53C4">
      <w:pPr>
        <w:jc w:val="center"/>
        <w:rPr>
          <w:b/>
          <w:bCs/>
        </w:rPr>
      </w:pPr>
      <w:r w:rsidRPr="00BA53C4">
        <w:rPr>
          <w:b/>
          <w:bCs/>
        </w:rPr>
        <w:t xml:space="preserve">BOOTH </w:t>
      </w:r>
      <w:r w:rsidR="00C70E8E">
        <w:rPr>
          <w:b/>
          <w:bCs/>
        </w:rPr>
        <w:t>Six</w:t>
      </w:r>
    </w:p>
    <w:p w14:paraId="0E4FCBE1" w14:textId="4F3FDE70" w:rsidR="00BA53C4" w:rsidRPr="00BA53C4" w:rsidRDefault="00D30B04" w:rsidP="00BA53C4">
      <w:pPr>
        <w:jc w:val="center"/>
        <w:rPr>
          <w:b/>
          <w:bCs/>
          <w:sz w:val="36"/>
          <w:szCs w:val="36"/>
        </w:rPr>
      </w:pPr>
      <w:r>
        <w:rPr>
          <w:b/>
          <w:bCs/>
          <w:sz w:val="36"/>
          <w:szCs w:val="36"/>
        </w:rPr>
        <w:t>Multi-Modal Bruner</w:t>
      </w:r>
    </w:p>
    <w:p w14:paraId="67E48309" w14:textId="77777777" w:rsidR="00BA53C4" w:rsidRDefault="00BA53C4" w:rsidP="00BA53C4">
      <w:pPr>
        <w:jc w:val="center"/>
        <w:rPr>
          <w:b/>
          <w:bCs/>
        </w:rPr>
      </w:pPr>
    </w:p>
    <w:tbl>
      <w:tblPr>
        <w:tblStyle w:val="TableGrid"/>
        <w:tblW w:w="0" w:type="auto"/>
        <w:tblLook w:val="04A0" w:firstRow="1" w:lastRow="0" w:firstColumn="1" w:lastColumn="0" w:noHBand="0" w:noVBand="1"/>
      </w:tblPr>
      <w:tblGrid>
        <w:gridCol w:w="4675"/>
        <w:gridCol w:w="4675"/>
      </w:tblGrid>
      <w:tr w:rsidR="00BA53C4" w14:paraId="67787C90" w14:textId="77777777" w:rsidTr="00E77522">
        <w:tc>
          <w:tcPr>
            <w:tcW w:w="9350" w:type="dxa"/>
            <w:gridSpan w:val="2"/>
          </w:tcPr>
          <w:p w14:paraId="77D822FB" w14:textId="363E340B" w:rsidR="00BA53C4" w:rsidRDefault="00BA53C4" w:rsidP="00BA53C4">
            <w:pPr>
              <w:rPr>
                <w:b/>
                <w:bCs/>
              </w:rPr>
            </w:pPr>
            <w:r>
              <w:rPr>
                <w:b/>
                <w:bCs/>
              </w:rPr>
              <w:t xml:space="preserve">Learning GOAL:  </w:t>
            </w:r>
          </w:p>
          <w:p w14:paraId="7439C647" w14:textId="7037A9AB" w:rsidR="00BA53C4" w:rsidRDefault="00BA53C4" w:rsidP="00DC2BE4">
            <w:pPr>
              <w:rPr>
                <w:b/>
                <w:bCs/>
              </w:rPr>
            </w:pPr>
            <w:r>
              <w:rPr>
                <w:b/>
                <w:bCs/>
              </w:rPr>
              <w:t xml:space="preserve">Participants </w:t>
            </w:r>
            <w:r w:rsidR="00D30B04">
              <w:rPr>
                <w:b/>
                <w:bCs/>
              </w:rPr>
              <w:t>can articulate multiple modes of representation according to Bruner’s kinesthetic, iconic (visual) and symbolic (language)</w:t>
            </w:r>
          </w:p>
        </w:tc>
      </w:tr>
      <w:tr w:rsidR="00D30B04" w14:paraId="1055E141" w14:textId="77777777" w:rsidTr="00E77522">
        <w:tc>
          <w:tcPr>
            <w:tcW w:w="9350" w:type="dxa"/>
            <w:gridSpan w:val="2"/>
          </w:tcPr>
          <w:p w14:paraId="0A10AC19" w14:textId="7C5AC3DE" w:rsidR="00D30B04" w:rsidRDefault="00D30B04" w:rsidP="00BA53C4">
            <w:pPr>
              <w:rPr>
                <w:b/>
                <w:bCs/>
              </w:rPr>
            </w:pPr>
            <w:r>
              <w:rPr>
                <w:b/>
                <w:bCs/>
              </w:rPr>
              <w:t>Directions:</w:t>
            </w:r>
          </w:p>
          <w:p w14:paraId="4119206C" w14:textId="0D596CBF" w:rsidR="00D30B04" w:rsidRDefault="00D30B04" w:rsidP="00D30B04">
            <w:pPr>
              <w:pStyle w:val="ListParagraph"/>
              <w:numPr>
                <w:ilvl w:val="0"/>
                <w:numId w:val="5"/>
              </w:numPr>
              <w:rPr>
                <w:b/>
                <w:bCs/>
              </w:rPr>
            </w:pPr>
            <w:r>
              <w:rPr>
                <w:b/>
                <w:bCs/>
              </w:rPr>
              <w:t>We are here to think about multiple modes of representation as important to learning.  Later in the week, we will touch on this again with the Universal Design for Learning.  This is more than learning styles; this is supporting students to use different modes or representations to develop a concept…in this case, the importance of circles in our lives.</w:t>
            </w:r>
          </w:p>
          <w:p w14:paraId="18F2F1A9" w14:textId="374CB6AA" w:rsidR="00D30B04" w:rsidRDefault="00D30B04" w:rsidP="00D30B04">
            <w:pPr>
              <w:pStyle w:val="ListParagraph"/>
              <w:numPr>
                <w:ilvl w:val="0"/>
                <w:numId w:val="5"/>
              </w:numPr>
              <w:rPr>
                <w:b/>
                <w:bCs/>
              </w:rPr>
            </w:pPr>
            <w:r>
              <w:rPr>
                <w:b/>
                <w:bCs/>
              </w:rPr>
              <w:t>Observe circle images.  What are your observations</w:t>
            </w:r>
          </w:p>
          <w:p w14:paraId="7F8D3DE9" w14:textId="2B20ADC1" w:rsidR="00D30B04" w:rsidRDefault="00D30B04" w:rsidP="00D30B04">
            <w:pPr>
              <w:pStyle w:val="ListParagraph"/>
              <w:numPr>
                <w:ilvl w:val="0"/>
                <w:numId w:val="5"/>
              </w:numPr>
              <w:rPr>
                <w:b/>
                <w:bCs/>
              </w:rPr>
            </w:pPr>
            <w:r w:rsidRPr="00D30B04">
              <w:rPr>
                <w:b/>
                <w:bCs/>
              </w:rPr>
              <w:t xml:space="preserve">Watch the video and talk about observations.  </w:t>
            </w:r>
            <w:hyperlink r:id="rId5" w:history="1">
              <w:r w:rsidRPr="00D30B04">
                <w:rPr>
                  <w:rStyle w:val="Hyperlink"/>
                  <w:b/>
                  <w:bCs/>
                </w:rPr>
                <w:t>https://www.youtube.com/watch?v=pNe6fsaCVtI</w:t>
              </w:r>
            </w:hyperlink>
          </w:p>
          <w:p w14:paraId="0E4FB3E3" w14:textId="089D6BB8" w:rsidR="00D30B04" w:rsidRPr="00D30B04" w:rsidRDefault="00D30B04" w:rsidP="00D30B04">
            <w:pPr>
              <w:pStyle w:val="ListParagraph"/>
              <w:numPr>
                <w:ilvl w:val="0"/>
                <w:numId w:val="5"/>
              </w:numPr>
              <w:rPr>
                <w:b/>
                <w:bCs/>
              </w:rPr>
            </w:pPr>
            <w:r w:rsidRPr="00D30B04">
              <w:rPr>
                <w:b/>
                <w:bCs/>
              </w:rPr>
              <w:t xml:space="preserve">Pose the question: </w:t>
            </w:r>
            <w:r w:rsidRPr="00D30B04">
              <w:rPr>
                <w:b/>
                <w:bCs/>
                <w:i/>
                <w:iCs/>
              </w:rPr>
              <w:t>What message about circles can you infer from these two images?</w:t>
            </w:r>
          </w:p>
          <w:p w14:paraId="1A3A1A9B" w14:textId="67BB0DD4" w:rsidR="00D30B04" w:rsidRDefault="00D30B04" w:rsidP="00D30B04">
            <w:pPr>
              <w:pStyle w:val="ListParagraph"/>
              <w:numPr>
                <w:ilvl w:val="0"/>
                <w:numId w:val="5"/>
              </w:numPr>
              <w:rPr>
                <w:b/>
                <w:bCs/>
              </w:rPr>
            </w:pPr>
            <w:r>
              <w:rPr>
                <w:b/>
                <w:bCs/>
              </w:rPr>
              <w:t xml:space="preserve">Read the poem aloud and have pairs choose a favorite word, line or phrase.  Pose the question:  </w:t>
            </w:r>
            <w:r>
              <w:rPr>
                <w:b/>
                <w:bCs/>
                <w:i/>
                <w:iCs/>
              </w:rPr>
              <w:t>What other messages about circles does the poem convey?</w:t>
            </w:r>
          </w:p>
          <w:p w14:paraId="084FEAF6" w14:textId="6E19F38D" w:rsidR="00D30B04" w:rsidRDefault="00D30B04" w:rsidP="00D30B04">
            <w:pPr>
              <w:pStyle w:val="ListParagraph"/>
              <w:numPr>
                <w:ilvl w:val="0"/>
                <w:numId w:val="5"/>
              </w:numPr>
              <w:rPr>
                <w:b/>
                <w:bCs/>
              </w:rPr>
            </w:pPr>
            <w:r>
              <w:rPr>
                <w:b/>
                <w:bCs/>
              </w:rPr>
              <w:t>Then in two groups of 5, the groups should embody the poem and present them.</w:t>
            </w:r>
          </w:p>
          <w:p w14:paraId="17937E02" w14:textId="6E33226A" w:rsidR="00D30B04" w:rsidRPr="00D30B04" w:rsidRDefault="00D30B04" w:rsidP="00D30B04">
            <w:pPr>
              <w:pStyle w:val="ListParagraph"/>
              <w:numPr>
                <w:ilvl w:val="0"/>
                <w:numId w:val="5"/>
              </w:numPr>
              <w:rPr>
                <w:b/>
                <w:bCs/>
              </w:rPr>
            </w:pPr>
            <w:r>
              <w:rPr>
                <w:b/>
                <w:bCs/>
              </w:rPr>
              <w:t>If time, discuss how this relates to the three modes of Bruner’s representations.</w:t>
            </w:r>
          </w:p>
        </w:tc>
      </w:tr>
      <w:tr w:rsidR="00BA53C4" w14:paraId="15C91D7C" w14:textId="77777777" w:rsidTr="00BA53C4">
        <w:tc>
          <w:tcPr>
            <w:tcW w:w="4675" w:type="dxa"/>
          </w:tcPr>
          <w:p w14:paraId="2494B591" w14:textId="3462F330" w:rsidR="00BA53C4" w:rsidRDefault="00BA53C4" w:rsidP="00DC2BE4">
            <w:pPr>
              <w:jc w:val="center"/>
              <w:rPr>
                <w:b/>
                <w:bCs/>
              </w:rPr>
            </w:pPr>
            <w:r>
              <w:rPr>
                <w:b/>
                <w:bCs/>
              </w:rPr>
              <w:t>Activitie</w:t>
            </w:r>
            <w:r w:rsidR="00DC2BE4">
              <w:rPr>
                <w:b/>
                <w:bCs/>
              </w:rPr>
              <w:t>s</w:t>
            </w:r>
          </w:p>
          <w:p w14:paraId="12C0CB4C" w14:textId="0158675D" w:rsidR="00BA53C4" w:rsidRDefault="00D30B04" w:rsidP="00D30B04">
            <w:pPr>
              <w:pStyle w:val="ListParagraph"/>
              <w:numPr>
                <w:ilvl w:val="0"/>
                <w:numId w:val="6"/>
              </w:numPr>
              <w:rPr>
                <w:b/>
                <w:bCs/>
              </w:rPr>
            </w:pPr>
            <w:r>
              <w:rPr>
                <w:b/>
                <w:bCs/>
              </w:rPr>
              <w:t xml:space="preserve">The group observes circle images (video and poster).  Talks about observations. </w:t>
            </w:r>
            <w:r w:rsidRPr="00D30B04">
              <w:rPr>
                <w:b/>
                <w:bCs/>
                <w:i/>
                <w:iCs/>
              </w:rPr>
              <w:t>What message about circles can you infer from these two images?</w:t>
            </w:r>
          </w:p>
          <w:p w14:paraId="37820545" w14:textId="77777777" w:rsidR="00D30B04" w:rsidRDefault="00D30B04" w:rsidP="00D30B04">
            <w:pPr>
              <w:pStyle w:val="ListParagraph"/>
              <w:rPr>
                <w:b/>
                <w:bCs/>
              </w:rPr>
            </w:pPr>
          </w:p>
          <w:p w14:paraId="4F849A45" w14:textId="6BA2FD86" w:rsidR="00D30B04" w:rsidRPr="00D30B04" w:rsidRDefault="00D30B04" w:rsidP="00D30B04">
            <w:pPr>
              <w:pStyle w:val="ListParagraph"/>
              <w:numPr>
                <w:ilvl w:val="0"/>
                <w:numId w:val="6"/>
              </w:numPr>
              <w:rPr>
                <w:b/>
                <w:bCs/>
              </w:rPr>
            </w:pPr>
            <w:r>
              <w:rPr>
                <w:b/>
                <w:bCs/>
              </w:rPr>
              <w:t>Read the poem aloud and the p</w:t>
            </w:r>
            <w:r w:rsidR="00DC2BE4">
              <w:rPr>
                <w:b/>
                <w:bCs/>
              </w:rPr>
              <w:t xml:space="preserve">airs </w:t>
            </w:r>
            <w:r>
              <w:rPr>
                <w:b/>
                <w:bCs/>
              </w:rPr>
              <w:t xml:space="preserve">share favorite phrase or line. </w:t>
            </w:r>
            <w:r w:rsidRPr="00D30B04">
              <w:rPr>
                <w:b/>
                <w:bCs/>
                <w:i/>
                <w:iCs/>
              </w:rPr>
              <w:t>What message about circles does the poem convey?</w:t>
            </w:r>
          </w:p>
          <w:p w14:paraId="0F8002BE" w14:textId="77777777" w:rsidR="00BA53C4" w:rsidRDefault="00D30B04" w:rsidP="00D30B04">
            <w:pPr>
              <w:pStyle w:val="ListParagraph"/>
              <w:numPr>
                <w:ilvl w:val="0"/>
                <w:numId w:val="6"/>
              </w:numPr>
              <w:rPr>
                <w:b/>
                <w:bCs/>
              </w:rPr>
            </w:pPr>
            <w:r>
              <w:rPr>
                <w:b/>
                <w:bCs/>
              </w:rPr>
              <w:t>Then group decides how to embody the poem</w:t>
            </w:r>
          </w:p>
          <w:p w14:paraId="144F9A60" w14:textId="47C22598" w:rsidR="00D30B04" w:rsidRPr="00DC2BE4" w:rsidRDefault="00D30B04" w:rsidP="00D30B04">
            <w:pPr>
              <w:pStyle w:val="ListParagraph"/>
              <w:numPr>
                <w:ilvl w:val="0"/>
                <w:numId w:val="6"/>
              </w:numPr>
              <w:rPr>
                <w:b/>
                <w:bCs/>
              </w:rPr>
            </w:pPr>
            <w:r>
              <w:rPr>
                <w:b/>
                <w:bCs/>
              </w:rPr>
              <w:t>Then discuss how each form (enactive-kinesthetic/iconic and symbolic) enhanced your learning.</w:t>
            </w:r>
          </w:p>
        </w:tc>
        <w:tc>
          <w:tcPr>
            <w:tcW w:w="4675" w:type="dxa"/>
          </w:tcPr>
          <w:p w14:paraId="2540436A" w14:textId="7E291A26" w:rsidR="00BA53C4" w:rsidRDefault="00BA53C4" w:rsidP="00D30B04">
            <w:pPr>
              <w:jc w:val="center"/>
              <w:rPr>
                <w:b/>
                <w:bCs/>
              </w:rPr>
            </w:pPr>
            <w:r>
              <w:rPr>
                <w:b/>
                <w:bCs/>
              </w:rPr>
              <w:t>Materials</w:t>
            </w:r>
          </w:p>
          <w:p w14:paraId="3E32C8A3" w14:textId="38F016D1" w:rsidR="00BA53C4" w:rsidRDefault="00D30B04" w:rsidP="00BA53C4">
            <w:pPr>
              <w:pStyle w:val="ListParagraph"/>
              <w:numPr>
                <w:ilvl w:val="0"/>
                <w:numId w:val="3"/>
              </w:numPr>
              <w:rPr>
                <w:b/>
                <w:bCs/>
              </w:rPr>
            </w:pPr>
            <w:r>
              <w:rPr>
                <w:b/>
                <w:bCs/>
              </w:rPr>
              <w:t>Poster of Circle Images</w:t>
            </w:r>
          </w:p>
          <w:p w14:paraId="6DA83108" w14:textId="3B244866" w:rsidR="00D30B04" w:rsidRDefault="00D30B04" w:rsidP="00BA53C4">
            <w:pPr>
              <w:pStyle w:val="ListParagraph"/>
              <w:numPr>
                <w:ilvl w:val="0"/>
                <w:numId w:val="3"/>
              </w:numPr>
              <w:rPr>
                <w:b/>
                <w:bCs/>
              </w:rPr>
            </w:pPr>
            <w:r>
              <w:rPr>
                <w:b/>
                <w:bCs/>
              </w:rPr>
              <w:t>Poem</w:t>
            </w:r>
          </w:p>
          <w:p w14:paraId="4CE2043B" w14:textId="310F9779" w:rsidR="00BA53C4" w:rsidRPr="00BA53C4" w:rsidRDefault="00BA53C4" w:rsidP="00BA53C4">
            <w:pPr>
              <w:pStyle w:val="ListParagraph"/>
              <w:rPr>
                <w:b/>
                <w:bCs/>
              </w:rPr>
            </w:pPr>
          </w:p>
        </w:tc>
      </w:tr>
    </w:tbl>
    <w:p w14:paraId="6DD25652" w14:textId="394687B1" w:rsidR="00D30B04" w:rsidRDefault="00D30B04" w:rsidP="00BA53C4">
      <w:pPr>
        <w:rPr>
          <w:b/>
          <w:bCs/>
        </w:rPr>
      </w:pPr>
    </w:p>
    <w:p w14:paraId="7133CF7E" w14:textId="06BB3E24" w:rsidR="00D30B04" w:rsidRPr="00D30B04" w:rsidRDefault="003C6EB5" w:rsidP="00D30B04">
      <w:pPr>
        <w:jc w:val="center"/>
        <w:rPr>
          <w:rFonts w:ascii="Times New Roman" w:eastAsia="Times New Roman" w:hAnsi="Times New Roman" w:cs="Times New Roman"/>
        </w:rPr>
      </w:pPr>
      <w:hyperlink r:id="rId6" w:history="1">
        <w:r w:rsidR="00D30B04" w:rsidRPr="00D30B04">
          <w:rPr>
            <w:rFonts w:ascii="Arial" w:eastAsia="Times New Roman" w:hAnsi="Arial" w:cs="Arial"/>
            <w:color w:val="660099"/>
            <w:sz w:val="2"/>
            <w:szCs w:val="2"/>
            <w:shd w:val="clear" w:color="auto" w:fill="FFFFFF"/>
          </w:rPr>
          <w:br/>
        </w:r>
        <w:r w:rsidR="00D30B04" w:rsidRPr="00D30B04">
          <w:rPr>
            <w:rFonts w:ascii="Arial" w:eastAsia="Times New Roman" w:hAnsi="Arial" w:cs="Arial"/>
            <w:color w:val="660099"/>
            <w:sz w:val="2"/>
            <w:szCs w:val="2"/>
            <w:shd w:val="clear" w:color="auto" w:fill="FFFFFF"/>
          </w:rPr>
          <w:fldChar w:fldCharType="begin"/>
        </w:r>
        <w:r w:rsidR="00D30B04" w:rsidRPr="00D30B04">
          <w:rPr>
            <w:rFonts w:ascii="Arial" w:eastAsia="Times New Roman" w:hAnsi="Arial" w:cs="Arial"/>
            <w:color w:val="660099"/>
            <w:sz w:val="2"/>
            <w:szCs w:val="2"/>
            <w:shd w:val="clear" w:color="auto" w:fill="FFFFFF"/>
          </w:rPr>
          <w:instrText xml:space="preserve"> INCLUDEPICTURE "/var/folders/zr/s_6_r63j2m32dwr0kns73n_nz358sb/T/com.microsoft.Word/WebArchiveCopyPasteTempFiles/9k=" \* MERGEFORMATINET </w:instrText>
        </w:r>
        <w:r w:rsidR="00D30B04" w:rsidRPr="00D30B04">
          <w:rPr>
            <w:rFonts w:ascii="Arial" w:eastAsia="Times New Roman" w:hAnsi="Arial" w:cs="Arial"/>
            <w:color w:val="660099"/>
            <w:sz w:val="2"/>
            <w:szCs w:val="2"/>
            <w:shd w:val="clear" w:color="auto" w:fill="FFFFFF"/>
          </w:rPr>
          <w:fldChar w:fldCharType="separate"/>
        </w:r>
        <w:r w:rsidR="00D30B04" w:rsidRPr="00D30B04">
          <w:rPr>
            <w:rFonts w:ascii="Arial" w:eastAsia="Times New Roman" w:hAnsi="Arial" w:cs="Arial"/>
            <w:noProof/>
            <w:color w:val="660099"/>
            <w:sz w:val="2"/>
            <w:szCs w:val="2"/>
            <w:shd w:val="clear" w:color="auto" w:fill="FFFFFF"/>
            <w:lang w:eastAsia="en-US"/>
          </w:rPr>
          <w:drawing>
            <wp:inline distT="0" distB="0" distL="0" distR="0" wp14:anchorId="02821F01" wp14:editId="3800DD94">
              <wp:extent cx="2857500" cy="2857500"/>
              <wp:effectExtent l="0" t="0" r="0" b="0"/>
              <wp:docPr id="1" name="Picture 1" descr="Image result for people in circl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HRbcMAlRKObM:" descr="Image result for people in circl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00D30B04" w:rsidRPr="00D30B04">
          <w:rPr>
            <w:rFonts w:ascii="Arial" w:eastAsia="Times New Roman" w:hAnsi="Arial" w:cs="Arial"/>
            <w:color w:val="660099"/>
            <w:sz w:val="2"/>
            <w:szCs w:val="2"/>
            <w:shd w:val="clear" w:color="auto" w:fill="FFFFFF"/>
          </w:rPr>
          <w:fldChar w:fldCharType="end"/>
        </w:r>
      </w:hyperlink>
      <w:r w:rsidR="00D30B04" w:rsidRPr="00D30B04">
        <w:t xml:space="preserve"> </w:t>
      </w:r>
      <w:r w:rsidR="00D30B04" w:rsidRPr="00D30B04">
        <w:rPr>
          <w:rFonts w:ascii="Arial" w:eastAsia="Times New Roman" w:hAnsi="Arial" w:cs="Arial"/>
          <w:noProof/>
          <w:color w:val="660099"/>
          <w:bdr w:val="none" w:sz="0" w:space="0" w:color="auto" w:frame="1"/>
          <w:lang w:eastAsia="en-US"/>
        </w:rPr>
        <w:drawing>
          <wp:inline distT="0" distB="0" distL="0" distR="0" wp14:anchorId="69A16F32" wp14:editId="43900276">
            <wp:extent cx="5080000" cy="5080000"/>
            <wp:effectExtent l="0" t="0" r="0" b="0"/>
            <wp:docPr id="2" name="Picture 2" descr="Image result for people in circle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eople in circles">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00" cy="5080000"/>
                    </a:xfrm>
                    <a:prstGeom prst="rect">
                      <a:avLst/>
                    </a:prstGeom>
                    <a:noFill/>
                    <a:ln>
                      <a:noFill/>
                    </a:ln>
                  </pic:spPr>
                </pic:pic>
              </a:graphicData>
            </a:graphic>
          </wp:inline>
        </w:drawing>
      </w:r>
    </w:p>
    <w:p w14:paraId="54EC0B01" w14:textId="14415A59" w:rsidR="00D30B04" w:rsidRPr="00D30B04" w:rsidRDefault="00D30B04" w:rsidP="00D30B04">
      <w:pPr>
        <w:rPr>
          <w:rFonts w:ascii="Times New Roman" w:eastAsia="Times New Roman" w:hAnsi="Times New Roman" w:cs="Times New Roman"/>
        </w:rPr>
      </w:pPr>
    </w:p>
    <w:p w14:paraId="61D06D89" w14:textId="77777777" w:rsidR="00D30B04" w:rsidRDefault="00D30B04" w:rsidP="00BA53C4">
      <w:pPr>
        <w:rPr>
          <w:b/>
          <w:bCs/>
        </w:rPr>
      </w:pPr>
    </w:p>
    <w:p w14:paraId="2D1D3D02" w14:textId="77777777" w:rsidR="00BA53C4" w:rsidRPr="00BA53C4" w:rsidRDefault="00BA53C4" w:rsidP="00BA53C4">
      <w:pPr>
        <w:rPr>
          <w:b/>
          <w:bCs/>
        </w:rPr>
      </w:pPr>
    </w:p>
    <w:p w14:paraId="7D6CC82F" w14:textId="77777777" w:rsidR="00D30B04" w:rsidRPr="00D30B04" w:rsidRDefault="00D30B04" w:rsidP="00D30B04">
      <w:pPr>
        <w:rPr>
          <w:sz w:val="36"/>
          <w:szCs w:val="36"/>
        </w:rPr>
      </w:pPr>
    </w:p>
    <w:p w14:paraId="51489C46" w14:textId="77777777" w:rsidR="00D30B04" w:rsidRPr="006F0553" w:rsidRDefault="00D30B04" w:rsidP="00D30B04">
      <w:pPr>
        <w:jc w:val="center"/>
        <w:rPr>
          <w:rFonts w:ascii="Lucida Calligraphy" w:hAnsi="Lucida Calligraphy"/>
          <w:i/>
          <w:iCs/>
          <w:sz w:val="36"/>
          <w:szCs w:val="36"/>
        </w:rPr>
      </w:pPr>
      <w:bookmarkStart w:id="0" w:name="_GoBack"/>
      <w:r w:rsidRPr="006F0553">
        <w:rPr>
          <w:rFonts w:ascii="Lucida Calligraphy" w:hAnsi="Lucida Calligraphy"/>
          <w:i/>
          <w:iCs/>
          <w:sz w:val="36"/>
          <w:szCs w:val="36"/>
        </w:rPr>
        <w:t>The Circle’s Web</w:t>
      </w:r>
    </w:p>
    <w:p w14:paraId="69A0042A" w14:textId="77777777" w:rsidR="00D30B04" w:rsidRPr="006F0553" w:rsidRDefault="00D30B04" w:rsidP="00D30B04">
      <w:pPr>
        <w:jc w:val="center"/>
        <w:rPr>
          <w:rFonts w:ascii="Lucida Calligraphy" w:hAnsi="Lucida Calligraphy"/>
          <w:i/>
          <w:iCs/>
          <w:sz w:val="36"/>
          <w:szCs w:val="36"/>
        </w:rPr>
      </w:pPr>
    </w:p>
    <w:p w14:paraId="3ACCBE30"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Weren’t we meant</w:t>
      </w:r>
    </w:p>
    <w:p w14:paraId="5BA905BC"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To stand in circles</w:t>
      </w:r>
    </w:p>
    <w:p w14:paraId="7E4DF661"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Feel the round</w:t>
      </w:r>
    </w:p>
    <w:p w14:paraId="0FF1D576"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curve</w:t>
      </w:r>
    </w:p>
    <w:p w14:paraId="4B96CAD6"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energy inward</w:t>
      </w:r>
    </w:p>
    <w:p w14:paraId="72F04BB5"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momentum,</w:t>
      </w:r>
    </w:p>
    <w:p w14:paraId="0795420A"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Next, across</w:t>
      </w:r>
    </w:p>
    <w:p w14:paraId="041320AD"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smiling eyes</w:t>
      </w:r>
    </w:p>
    <w:p w14:paraId="6CD9324F"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Pick up the dangling word</w:t>
      </w:r>
    </w:p>
    <w:p w14:paraId="636BFA02"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Finish or help</w:t>
      </w:r>
    </w:p>
    <w:p w14:paraId="4062FB90"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Hold up, high five</w:t>
      </w:r>
    </w:p>
    <w:p w14:paraId="30599F2D"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Shoulder the sagging</w:t>
      </w:r>
    </w:p>
    <w:p w14:paraId="793C4F58"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Join hands</w:t>
      </w:r>
    </w:p>
    <w:p w14:paraId="19BCE68C"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For grace</w:t>
      </w:r>
    </w:p>
    <w:p w14:paraId="7EE53AD5"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glance of glee</w:t>
      </w:r>
    </w:p>
    <w:p w14:paraId="3B0F0380"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skip of laughter</w:t>
      </w:r>
    </w:p>
    <w:p w14:paraId="4A0624BC"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push of angst</w:t>
      </w:r>
    </w:p>
    <w:p w14:paraId="68BC14F7"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The wave of mellow</w:t>
      </w:r>
    </w:p>
    <w:p w14:paraId="127D2B50" w14:textId="77777777" w:rsidR="00D30B04" w:rsidRPr="006F0553" w:rsidRDefault="00D30B04" w:rsidP="00D30B04">
      <w:pPr>
        <w:jc w:val="center"/>
        <w:rPr>
          <w:rFonts w:ascii="Lucida Calligraphy" w:hAnsi="Lucida Calligraphy"/>
          <w:i/>
          <w:iCs/>
          <w:sz w:val="36"/>
          <w:szCs w:val="36"/>
        </w:rPr>
      </w:pPr>
      <w:r w:rsidRPr="006F0553">
        <w:rPr>
          <w:rFonts w:ascii="Lucida Calligraphy" w:hAnsi="Lucida Calligraphy"/>
          <w:i/>
          <w:iCs/>
          <w:sz w:val="36"/>
          <w:szCs w:val="36"/>
        </w:rPr>
        <w:t>Cradling the spell of memory.</w:t>
      </w:r>
    </w:p>
    <w:p w14:paraId="66F35EE6" w14:textId="77777777" w:rsidR="00D30B04" w:rsidRPr="006F0553" w:rsidRDefault="00D30B04" w:rsidP="00D30B04">
      <w:pPr>
        <w:jc w:val="center"/>
        <w:rPr>
          <w:rFonts w:ascii="Lucida Calligraphy" w:hAnsi="Lucida Calligraphy"/>
          <w:i/>
          <w:iCs/>
          <w:sz w:val="36"/>
          <w:szCs w:val="36"/>
        </w:rPr>
      </w:pPr>
    </w:p>
    <w:p w14:paraId="260BFBDE" w14:textId="11E11319" w:rsidR="00515BDC" w:rsidRPr="006F0553" w:rsidRDefault="00D30B04" w:rsidP="00080152">
      <w:pPr>
        <w:jc w:val="center"/>
        <w:rPr>
          <w:rFonts w:ascii="Lucida Calligraphy" w:hAnsi="Lucida Calligraphy"/>
          <w:i/>
          <w:iCs/>
          <w:sz w:val="36"/>
          <w:szCs w:val="36"/>
        </w:rPr>
      </w:pPr>
      <w:r w:rsidRPr="006F0553">
        <w:rPr>
          <w:rFonts w:ascii="Lucida Calligraphy" w:hAnsi="Lucida Calligraphy"/>
          <w:i/>
          <w:iCs/>
          <w:sz w:val="36"/>
          <w:szCs w:val="36"/>
        </w:rPr>
        <w:t>Lynda Tredway, 1996</w:t>
      </w:r>
      <w:bookmarkEnd w:id="0"/>
    </w:p>
    <w:sectPr w:rsidR="00515BDC" w:rsidRPr="006F0553" w:rsidSect="008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70941"/>
    <w:multiLevelType w:val="hybridMultilevel"/>
    <w:tmpl w:val="7684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6460"/>
    <w:multiLevelType w:val="hybridMultilevel"/>
    <w:tmpl w:val="0586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514FF"/>
    <w:multiLevelType w:val="hybridMultilevel"/>
    <w:tmpl w:val="3782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076DC"/>
    <w:multiLevelType w:val="hybridMultilevel"/>
    <w:tmpl w:val="5D04B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A0A0A"/>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478B3"/>
    <w:multiLevelType w:val="hybridMultilevel"/>
    <w:tmpl w:val="02A8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C4"/>
    <w:rsid w:val="00080152"/>
    <w:rsid w:val="00360101"/>
    <w:rsid w:val="003C6EB5"/>
    <w:rsid w:val="006F0553"/>
    <w:rsid w:val="008F763C"/>
    <w:rsid w:val="00BA53C4"/>
    <w:rsid w:val="00C70E8E"/>
    <w:rsid w:val="00D30B04"/>
    <w:rsid w:val="00DC2BE4"/>
    <w:rsid w:val="00DD7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8CA5D"/>
  <w15:docId w15:val="{4D11255D-049E-7340-A7A1-4918D26E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3C4"/>
    <w:pPr>
      <w:ind w:left="720"/>
      <w:contextualSpacing/>
    </w:pPr>
  </w:style>
  <w:style w:type="character" w:customStyle="1" w:styleId="apple-converted-space">
    <w:name w:val="apple-converted-space"/>
    <w:basedOn w:val="DefaultParagraphFont"/>
    <w:rsid w:val="00BA53C4"/>
  </w:style>
  <w:style w:type="character" w:styleId="Hyperlink">
    <w:name w:val="Hyperlink"/>
    <w:basedOn w:val="DefaultParagraphFont"/>
    <w:uiPriority w:val="99"/>
    <w:unhideWhenUsed/>
    <w:rsid w:val="00D30B04"/>
    <w:rPr>
      <w:color w:val="0563C1" w:themeColor="hyperlink"/>
      <w:u w:val="single"/>
    </w:rPr>
  </w:style>
  <w:style w:type="character" w:customStyle="1" w:styleId="UnresolvedMention1">
    <w:name w:val="Unresolved Mention1"/>
    <w:basedOn w:val="DefaultParagraphFont"/>
    <w:uiPriority w:val="99"/>
    <w:semiHidden/>
    <w:unhideWhenUsed/>
    <w:rsid w:val="00D3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7155">
      <w:bodyDiv w:val="1"/>
      <w:marLeft w:val="0"/>
      <w:marRight w:val="0"/>
      <w:marTop w:val="0"/>
      <w:marBottom w:val="0"/>
      <w:divBdr>
        <w:top w:val="none" w:sz="0" w:space="0" w:color="auto"/>
        <w:left w:val="none" w:sz="0" w:space="0" w:color="auto"/>
        <w:bottom w:val="none" w:sz="0" w:space="0" w:color="auto"/>
        <w:right w:val="none" w:sz="0" w:space="0" w:color="auto"/>
      </w:divBdr>
    </w:div>
    <w:div w:id="206621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imgres?imgurl=https://utahvalley360.com/wp-content/uploads/2014/11/Circles-Community-Action.jpg&amp;imgrefurl=https://utahvalley360.com/2014/11/20/circles-bridges-helping-people-poverty-community-mentors/&amp;docid=9rf6ImgMdxMSiM&amp;tbnid=CBHRbcMAlRKObM:&amp;vet=10ahUKEwjMvYezr7LiAhWCTN8KHdjAD7cQMwhpKA0wDQ..i&amp;w=600&amp;h=600&amp;bih=734&amp;biw=1324&amp;q=people%20in%20circles&amp;ved=0ahUKEwjMvYezr7LiAhWCTN8KHdjAD7cQMwhpKA0wDQ&amp;iact=mrc&amp;uac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imgres?imgurl=https%3A%2F%2Futahvalley360.com%2Fwp-content%2Fuploads%2F2014%2F11%2FCircles-Community-Action.jpg&amp;imgrefurl=https%3A%2F%2Futahvalley360.com%2F2014%2F11%2F20%2Fcircles-bridges-helping-people-poverty-community-mentors%2F&amp;docid=9rf6ImgMdxMSiM&amp;tbnid=CBHRbcMAlRKObM%3A&amp;vet=10ahUKEwjMvYezr7LiAhWCTN8KHdjAD7cQMwhpKA0wDQ..i&amp;w=600&amp;h=600&amp;bih=734&amp;biw=1324&amp;q=people%20in%20circles&amp;ved=0ahUKEwjMvYezr7LiAhWCTN8KHdjAD7cQMwhpKA0wDQ&amp;iact=mrc&amp;uact=8" TargetMode="External"/><Relationship Id="rId11" Type="http://schemas.openxmlformats.org/officeDocument/2006/relationships/fontTable" Target="fontTable.xml"/><Relationship Id="rId5" Type="http://schemas.openxmlformats.org/officeDocument/2006/relationships/hyperlink" Target="https://www.youtube.com/watch?v=pNe6fsaCVtI"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om/url?sa=i&amp;rct=j&amp;q=&amp;esrc=s&amp;source=images&amp;cd=&amp;ved=2ahUKEwiT6qvTr7LiAhVjg-AKHapaBsAQjRx6BAgBEAU&amp;url=https://endtimesprophecyreport.com/2014/05/06/prayer-circles-another-pagan-practice-in-the-church/&amp;psig=AOvVaw2nQaS1AYEozA3faOnFRZtc&amp;ust=1558725575860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Tredway, Lynda L</dc:creator>
  <cp:keywords/>
  <dc:description/>
  <cp:lastModifiedBy>Microsoft Office User</cp:lastModifiedBy>
  <cp:revision>3</cp:revision>
  <dcterms:created xsi:type="dcterms:W3CDTF">2019-07-17T20:59:00Z</dcterms:created>
  <dcterms:modified xsi:type="dcterms:W3CDTF">2019-07-19T23:41:00Z</dcterms:modified>
</cp:coreProperties>
</file>